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徐圩盐场棚户区改造工程、台北裕源三期、灌西西旺公司配电箱安装工程采购电表、采集器项目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徐圩盐场棚户区改造工程、台北裕源三期、灌西西旺公司配电箱安装工程采购电表、采集器项目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958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90"/>
        <w:gridCol w:w="3079"/>
        <w:gridCol w:w="776"/>
        <w:gridCol w:w="81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II型采集器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徐圩盐场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II型采集器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DCHL14-CL 195K型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台北裕源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三相无线费控智能表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3*220/380V 3*1.5/6A（4G)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台北裕源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三相载波电表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3*220/380-3*10/100A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灌西西旺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载波电表（互感式)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3*220/380 - 3*1.5-6A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灌西西旺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9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载波模块均需宽带载波模式，电表需要支持更换电池，规范内容附后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合同签订后25日内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55200.00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徐南伏先生          电话：13505135996</w:t>
      </w:r>
    </w:p>
    <w:p>
      <w:pPr>
        <w:spacing w:line="360" w:lineRule="auto"/>
        <w:ind w:firstLine="1920" w:firstLineChars="8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灌西李先生          电话：19901537212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eastAsia="宋体" w:cs="宋体"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FF0000"/>
          <w:sz w:val="36"/>
          <w:szCs w:val="36"/>
          <w:lang w:eastAsia="zh-CN"/>
        </w:rPr>
        <w:t>技术要求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98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技术要求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单相智能表220V 5-60A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2.0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包含单相载波表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三相智能表（3*220/380V 3*10-100A）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包含三相载波表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三相智能表（3*220/380V 3*1.5-6A）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包含三相载波表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三相智能表（3*100V 3*1.5-6A）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1.0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包含三相载波表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三相4G表（3*220/380V 3*10-100A）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三相4G表（3*220/380V 3*1.5-6A）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三相4G表（3*100V 3*1.5-6A）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载波模块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鼎信0.7-3Mhz宽带载波</w:t>
            </w:r>
          </w:p>
        </w:tc>
        <w:tc>
          <w:tcPr>
            <w:tcW w:w="24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4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6007F0A"/>
    <w:rsid w:val="08F9309E"/>
    <w:rsid w:val="093010E2"/>
    <w:rsid w:val="0E5434E9"/>
    <w:rsid w:val="124D39E5"/>
    <w:rsid w:val="160C03FC"/>
    <w:rsid w:val="166E2C6E"/>
    <w:rsid w:val="171E08B2"/>
    <w:rsid w:val="184A3267"/>
    <w:rsid w:val="186B1B5B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207424B"/>
    <w:rsid w:val="34993154"/>
    <w:rsid w:val="3586192A"/>
    <w:rsid w:val="3C7C7BE4"/>
    <w:rsid w:val="3E7013C9"/>
    <w:rsid w:val="403C77B5"/>
    <w:rsid w:val="410B7187"/>
    <w:rsid w:val="415E50F6"/>
    <w:rsid w:val="42BD2703"/>
    <w:rsid w:val="43BC118A"/>
    <w:rsid w:val="43D20E34"/>
    <w:rsid w:val="46484EAD"/>
    <w:rsid w:val="4CAC7A71"/>
    <w:rsid w:val="4EB04853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64D7777"/>
    <w:rsid w:val="6814588F"/>
    <w:rsid w:val="681D7161"/>
    <w:rsid w:val="6864524C"/>
    <w:rsid w:val="690E11AE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5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2023-11-16T07:20:00Z</cp:lastPrinted>
  <dcterms:modified xsi:type="dcterms:W3CDTF">2023-11-21T08:26:28Z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